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Ind w:type="dxa" w:w="392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933"/>
        <w:gridCol w:w="4598"/>
      </w:tblGrid>
      <w:tr>
        <w:trPr>
          <w:trHeight w:hRule="atLeast" w:val="2551"/>
        </w:trPr>
        <w:tc>
          <w:tcPr>
            <w:tcW w:type="dxa" w:w="493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9000000">
            <w:pPr>
              <w:widowControl w:val="1"/>
              <w:tabs>
                <w:tab w:leader="none" w:pos="4784" w:val="right"/>
              </w:tabs>
              <w:ind w:firstLine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340869" cy="1548387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flipH="false" flipV="false" rot="0">
                            <a:ext cx="2340869" cy="154838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Style_2"/>
              <w:tblW w:type="auto" w:w="0"/>
              <w:tblBorders>
                <w:top w:color="000000" w:sz="4" w:val="nil"/>
                <w:left w:color="000000" w:sz="4" w:val="nil"/>
                <w:bottom w:color="000000" w:sz="4" w:val="nil"/>
                <w:right w:color="000000" w:sz="4" w:val="nil"/>
                <w:insideH w:color="000000" w:sz="4" w:val="nil"/>
                <w:insideV w:color="000000" w:sz="4" w:val="nil"/>
              </w:tblBorders>
              <w:tblLayout w:type="fixed"/>
            </w:tblPr>
            <w:tblGrid>
              <w:gridCol w:w="672"/>
              <w:gridCol w:w="1029"/>
              <w:gridCol w:w="283"/>
              <w:gridCol w:w="2496"/>
              <w:gridCol w:w="54"/>
            </w:tblGrid>
            <w:tr>
              <w:tc>
                <w:tcPr>
                  <w:tcW w:type="dxa" w:w="1701"/>
                  <w:gridSpan w:val="2"/>
                  <w:tcBorders>
                    <w:top w:color="000000" w:sz="4" w:val="nil"/>
                    <w:left w:color="000000" w:sz="4" w:val="nil"/>
                    <w:bottom w:color="000000" w:sz="2" w:val="single"/>
                    <w:right w:color="000000" w:sz="4" w:val="nil"/>
                  </w:tcBorders>
                  <w:tcMar>
                    <w:left w:type="dxa" w:w="0"/>
                    <w:bottom w:type="dxa" w:w="85"/>
                    <w:right w:type="dxa" w:w="0"/>
                  </w:tcMar>
                  <w:vAlign w:val="center"/>
                </w:tcPr>
                <w:p w14:paraId="0A000000">
                  <w:pPr>
                    <w:widowControl w:val="1"/>
                    <w:spacing w:before="120"/>
                    <w:ind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08.05.2026</w:t>
                  </w:r>
                </w:p>
              </w:tc>
              <w:tc>
                <w:tcPr>
                  <w:tcW w:type="dxa" w:w="283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  <w:tcMar>
                    <w:left w:type="dxa" w:w="0"/>
                    <w:bottom w:type="dxa" w:w="85"/>
                    <w:right w:type="dxa" w:w="0"/>
                  </w:tcMar>
                  <w:vAlign w:val="bottom"/>
                </w:tcPr>
                <w:p w14:paraId="0B000000">
                  <w:pPr>
                    <w:widowControl w:val="1"/>
                    <w:spacing w:before="120"/>
                    <w:ind/>
                    <w:jc w:val="center"/>
                    <w:rPr>
                      <w:rFonts w:ascii="Times New Roman" w:hAnsi="Times New Roman"/>
                      <w:sz w:val="27"/>
                    </w:rPr>
                  </w:pPr>
                  <w:r>
                    <w:rPr>
                      <w:rFonts w:ascii="Times New Roman" w:hAnsi="Times New Roman"/>
                      <w:sz w:val="27"/>
                    </w:rPr>
                    <w:t>№</w:t>
                  </w:r>
                </w:p>
              </w:tc>
              <w:tc>
                <w:tcPr>
                  <w:tcW w:type="dxa" w:w="2550"/>
                  <w:gridSpan w:val="2"/>
                  <w:tcBorders>
                    <w:top w:color="000000" w:sz="4" w:val="nil"/>
                    <w:left w:color="000000" w:sz="4" w:val="nil"/>
                    <w:bottom w:color="000000" w:sz="4" w:val="single"/>
                    <w:right w:color="000000" w:sz="4" w:val="nil"/>
                  </w:tcBorders>
                  <w:tcMar>
                    <w:bottom w:type="dxa" w:w="85"/>
                  </w:tcMar>
                  <w:vAlign w:val="bottom"/>
                </w:tcPr>
                <w:p w14:paraId="0C000000">
                  <w:pPr>
                    <w:widowControl w:val="1"/>
                    <w:spacing w:before="120"/>
                    <w:ind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7</w:t>
                  </w:r>
                  <w:r>
                    <w:rPr>
                      <w:rFonts w:ascii="Times New Roman" w:hAnsi="Times New Roman"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</w:rPr>
                    <w:t>-202</w:t>
                  </w:r>
                  <w:r>
                    <w:rPr>
                      <w:rFonts w:ascii="Times New Roman" w:hAnsi="Times New Roman"/>
                      <w:sz w:val="24"/>
                    </w:rPr>
                    <w:t>5</w:t>
                  </w:r>
                </w:p>
              </w:tc>
            </w:tr>
            <w:tr>
              <w:tc>
                <w:tcPr>
                  <w:tcW w:type="dxa" w:w="672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  <w:tcMar>
                    <w:left w:type="dxa" w:w="0"/>
                    <w:right w:type="dxa" w:w="0"/>
                  </w:tcMar>
                  <w:vAlign w:val="bottom"/>
                </w:tcPr>
                <w:p w14:paraId="0D000000">
                  <w:pPr>
                    <w:widowControl w:val="1"/>
                    <w:spacing w:before="140"/>
                    <w:ind/>
                    <w:rPr>
                      <w:rFonts w:ascii="Times New Roman" w:hAnsi="Times New Roman"/>
                      <w:b w:val="1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sz w:val="20"/>
                    </w:rPr>
                    <w:t>На №</w:t>
                  </w:r>
                </w:p>
              </w:tc>
              <w:tc>
                <w:tcPr>
                  <w:tcW w:type="dxa" w:w="3808"/>
                  <w:gridSpan w:val="3"/>
                  <w:tcBorders>
                    <w:top w:color="000000" w:sz="4" w:val="nil"/>
                    <w:left w:color="000000" w:sz="4" w:val="nil"/>
                    <w:bottom w:color="000000" w:sz="2" w:val="single"/>
                    <w:right w:color="000000" w:sz="4" w:val="nil"/>
                  </w:tcBorders>
                  <w:vAlign w:val="bottom"/>
                </w:tcPr>
                <w:p w14:paraId="0E000000">
                  <w:pPr>
                    <w:widowControl w:val="1"/>
                    <w:spacing w:before="140"/>
                    <w:ind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type="dxa" w:w="54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</w:tcPr>
                <w:p/>
              </w:tc>
            </w:tr>
          </w:tbl>
          <w:p w14:paraId="0F000000">
            <w:pPr>
              <w:widowControl w:val="1"/>
              <w:tabs>
                <w:tab w:leader="none" w:pos="4784" w:val="right"/>
              </w:tabs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9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000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1100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1200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13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14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Прокуратура Ленинградской области </w:t>
            </w:r>
          </w:p>
          <w:p w14:paraId="15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</w:p>
          <w:p w14:paraId="16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Старшему помощнику прокурора Ленинградской области </w:t>
            </w:r>
          </w:p>
          <w:p w14:paraId="17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по взаимодействию со </w:t>
            </w:r>
            <w:r>
              <w:rPr>
                <w:rFonts w:ascii="Times New Roman" w:hAnsi="Times New Roman"/>
                <w:color w:themeColor="text1" w:val="000000"/>
                <w:sz w:val="27"/>
              </w:rPr>
              <w:t>средствами массовой информации</w:t>
            </w:r>
          </w:p>
          <w:p w14:paraId="18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</w:p>
          <w:p w14:paraId="19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>Швецовой</w:t>
            </w: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 М.С.</w:t>
            </w:r>
          </w:p>
        </w:tc>
      </w:tr>
    </w:tbl>
    <w:p w14:paraId="1A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7"/>
        </w:rPr>
      </w:pPr>
      <w:bookmarkStart w:id="3" w:name="_Hlk64303089"/>
    </w:p>
    <w:p w14:paraId="1B000000">
      <w:pPr>
        <w:widowControl w:val="1"/>
        <w:spacing w:after="0" w:line="240" w:lineRule="auto"/>
        <w:ind w:right="-144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Уважаем</w:t>
      </w:r>
      <w:r>
        <w:rPr>
          <w:rFonts w:ascii="Times New Roman" w:hAnsi="Times New Roman"/>
          <w:sz w:val="27"/>
        </w:rPr>
        <w:t>ая Маргарита Сергеевна</w:t>
      </w:r>
      <w:r>
        <w:rPr>
          <w:rFonts w:ascii="Times New Roman" w:hAnsi="Times New Roman"/>
          <w:sz w:val="27"/>
        </w:rPr>
        <w:t>!</w:t>
      </w:r>
    </w:p>
    <w:p w14:paraId="1C000000">
      <w:pPr>
        <w:widowControl w:val="1"/>
        <w:spacing w:after="0" w:line="240" w:lineRule="auto"/>
        <w:ind w:right="-144"/>
        <w:jc w:val="center"/>
        <w:rPr>
          <w:rFonts w:ascii="Times New Roman" w:hAnsi="Times New Roman"/>
          <w:sz w:val="27"/>
        </w:rPr>
      </w:pPr>
      <w:bookmarkEnd w:id="3"/>
    </w:p>
    <w:p w14:paraId="1D000000">
      <w:pPr>
        <w:widowControl w:val="1"/>
        <w:tabs>
          <w:tab w:leader="none" w:pos="567" w:val="left"/>
        </w:tabs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Во исполнение приказа прокуратуры Ленинградской области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«Об организации работы по обеспечению доступа к информации о деятельности органов прокуратуры Ленинградской области» направляю в Ваш адрес информацию для опубликования</w:t>
      </w:r>
      <w:r>
        <w:rPr>
          <w:rFonts w:ascii="Times New Roman" w:hAnsi="Times New Roman"/>
          <w:sz w:val="27"/>
        </w:rPr>
        <w:br/>
      </w:r>
      <w:r>
        <w:rPr>
          <w:rFonts w:ascii="Times New Roman" w:hAnsi="Times New Roman"/>
          <w:sz w:val="27"/>
        </w:rPr>
        <w:t xml:space="preserve">в официальном </w:t>
      </w:r>
      <w:r>
        <w:rPr>
          <w:rFonts w:ascii="Times New Roman" w:hAnsi="Times New Roman"/>
          <w:sz w:val="27"/>
        </w:rPr>
        <w:t>канале «Max»</w:t>
      </w:r>
      <w:r>
        <w:rPr>
          <w:rFonts w:ascii="Times New Roman" w:hAnsi="Times New Roman"/>
          <w:sz w:val="27"/>
        </w:rPr>
        <w:t xml:space="preserve"> прокуратуры области.</w:t>
      </w:r>
    </w:p>
    <w:p w14:paraId="1E000000">
      <w:pPr>
        <w:widowControl w:val="1"/>
        <w:tabs>
          <w:tab w:leader="none" w:pos="567" w:val="left"/>
        </w:tabs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</w:p>
    <w:p w14:paraId="1F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Приложение: информация на 1 листе.</w:t>
      </w:r>
    </w:p>
    <w:p w14:paraId="20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7"/>
        </w:rPr>
      </w:pPr>
    </w:p>
    <w:p w14:paraId="21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7"/>
        </w:rPr>
      </w:pPr>
    </w:p>
    <w:tbl>
      <w:tblPr>
        <w:tblStyle w:val="Style_2"/>
        <w:tblW w:type="auto" w:w="0"/>
        <w:tblInd w:type="dxa" w:w="-34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394"/>
        <w:gridCol w:w="5671"/>
      </w:tblGrid>
      <w:tr>
        <w:trPr>
          <w:trHeight w:hRule="atLeast" w:val="271"/>
        </w:trPr>
        <w:tc>
          <w:tcPr>
            <w:tcW w:type="dxa" w:w="439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2000000">
            <w:pPr>
              <w:widowControl w:val="1"/>
              <w:spacing w:line="240" w:lineRule="exact"/>
              <w:ind w:hanging="75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И.о. городск</w:t>
            </w:r>
            <w:r>
              <w:rPr>
                <w:rFonts w:ascii="Times New Roman" w:hAnsi="Times New Roman"/>
                <w:sz w:val="27"/>
              </w:rPr>
              <w:t>ого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п</w:t>
            </w:r>
            <w:r>
              <w:rPr>
                <w:rFonts w:ascii="Times New Roman" w:hAnsi="Times New Roman"/>
                <w:sz w:val="27"/>
              </w:rPr>
              <w:t>рокурора</w:t>
            </w:r>
          </w:p>
        </w:tc>
        <w:tc>
          <w:tcPr>
            <w:tcW w:type="dxa" w:w="567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3000000">
            <w:pPr>
              <w:widowControl w:val="1"/>
              <w:ind w:firstLine="709"/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В.А. Потапкин</w:t>
            </w:r>
          </w:p>
        </w:tc>
      </w:tr>
    </w:tbl>
    <w:p w14:paraId="24000000">
      <w:pPr>
        <w:widowControl w:val="1"/>
        <w:spacing w:after="0"/>
        <w:ind w:left="2977"/>
        <w:rPr>
          <w:rFonts w:ascii="Times New Roman" w:hAnsi="Times New Roman"/>
          <w:sz w:val="28"/>
        </w:rPr>
      </w:pPr>
      <w:bookmarkStart w:id="4" w:name="SIGNERSTAMP1"/>
      <w:r>
        <w:rPr>
          <w:rFonts w:ascii="Times New Roman" w:hAnsi="Times New Roman"/>
          <w:color w:themeColor="background1" w:themeShade="D9" w:val="D9D9D9"/>
          <w:sz w:val="28"/>
        </w:rPr>
        <w:t xml:space="preserve">                 </w:t>
      </w:r>
      <w:r>
        <w:rPr>
          <w:rFonts w:ascii="Times New Roman" w:hAnsi="Times New Roman"/>
          <w:color w:themeColor="background1" w:themeShade="D9" w:val="D9D9D9"/>
          <w:sz w:val="28"/>
        </w:rPr>
        <w:t>Подпись</w:t>
      </w:r>
      <w:bookmarkEnd w:id="4"/>
    </w:p>
    <w:p w14:paraId="25000000">
      <w:pPr>
        <w:rPr>
          <w:rFonts w:ascii="Times New Roman" w:hAnsi="Times New Roman"/>
          <w:sz w:val="28"/>
        </w:rPr>
      </w:pPr>
    </w:p>
    <w:p w14:paraId="26000000">
      <w:pPr>
        <w:rPr>
          <w:rFonts w:ascii="Times New Roman" w:hAnsi="Times New Roman"/>
          <w:sz w:val="28"/>
        </w:rPr>
      </w:pPr>
    </w:p>
    <w:p w14:paraId="27000000">
      <w:pPr>
        <w:rPr>
          <w:rFonts w:ascii="Times New Roman" w:hAnsi="Times New Roman"/>
          <w:sz w:val="28"/>
        </w:rPr>
      </w:pPr>
    </w:p>
    <w:p w14:paraId="28000000">
      <w:pPr>
        <w:rPr>
          <w:rFonts w:ascii="Times New Roman" w:hAnsi="Times New Roman"/>
          <w:sz w:val="28"/>
        </w:rPr>
      </w:pPr>
    </w:p>
    <w:p w14:paraId="29000000">
      <w:pPr>
        <w:rPr>
          <w:rFonts w:ascii="Times New Roman" w:hAnsi="Times New Roman"/>
          <w:sz w:val="28"/>
        </w:rPr>
      </w:pPr>
    </w:p>
    <w:p w14:paraId="2A000000">
      <w:pPr>
        <w:rPr>
          <w:rFonts w:ascii="Times New Roman" w:hAnsi="Times New Roman"/>
          <w:sz w:val="28"/>
        </w:rPr>
      </w:pPr>
    </w:p>
    <w:p w14:paraId="2B000000">
      <w:pPr>
        <w:rPr>
          <w:rFonts w:ascii="Times New Roman" w:hAnsi="Times New Roman"/>
          <w:sz w:val="28"/>
        </w:rPr>
      </w:pPr>
    </w:p>
    <w:p w14:paraId="2C000000">
      <w:pPr>
        <w:rPr>
          <w:rFonts w:ascii="Times New Roman" w:hAnsi="Times New Roman"/>
          <w:sz w:val="28"/>
        </w:rPr>
      </w:pPr>
    </w:p>
    <w:p w14:paraId="2D000000">
      <w:pPr>
        <w:rPr>
          <w:rFonts w:ascii="Times New Roman" w:hAnsi="Times New Roman"/>
          <w:sz w:val="28"/>
        </w:rPr>
      </w:pPr>
    </w:p>
    <w:p w14:paraId="2E000000">
      <w:pPr>
        <w:rPr>
          <w:rFonts w:ascii="Times New Roman" w:hAnsi="Times New Roman"/>
          <w:sz w:val="28"/>
        </w:rPr>
      </w:pPr>
    </w:p>
    <w:p w14:paraId="2F000000">
      <w:pPr>
        <w:rPr>
          <w:rFonts w:ascii="Times New Roman" w:hAnsi="Times New Roman"/>
          <w:sz w:val="28"/>
        </w:rPr>
      </w:pPr>
    </w:p>
    <w:p w14:paraId="30000000">
      <w:pPr>
        <w:rPr>
          <w:rFonts w:ascii="Times New Roman" w:hAnsi="Times New Roman"/>
          <w:sz w:val="28"/>
        </w:rPr>
      </w:pPr>
    </w:p>
    <w:p w14:paraId="3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Прокуратура города Подпорожье государственное обвинение по уголовному делу о незаконном хранении взрывных устройств времен Великой отечественной Войны.</w:t>
      </w:r>
    </w:p>
    <w:p w14:paraId="3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Подпорожский городской суд Ленинградской области вынес приговор в отношении Пилипчука С.</w:t>
      </w:r>
    </w:p>
    <w:p w14:paraId="3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Он признан виновным по трем эпизодам преступления, предусмотренного ч. 1 ст. 222.1 УК РФ за незаконное хранение взрывных устройств времен Великой отечественной Войны у себя в доме – наступательной гранаты, мины и зажигательного боеприпаса. </w:t>
      </w:r>
    </w:p>
    <w:p w14:paraId="3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Государственный обвинитель предоставил суду неопровержимые доказательства вины Пилипчука С. в совершении указанного преступления</w:t>
      </w:r>
      <w:r>
        <w:rPr>
          <w:rFonts w:ascii="Times New Roman" w:hAnsi="Times New Roman"/>
          <w:b w:val="0"/>
          <w:sz w:val="28"/>
        </w:rPr>
        <w:t xml:space="preserve">. </w:t>
      </w:r>
    </w:p>
    <w:p w14:paraId="3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Суд согласившись с позицией государственного обвинителя, признал подсудимого виновным в совершении указанных преступлений, назначив ему наказание в виде 3 лет лишения свободы условно с испытательным сроком 3 года и дополнительным наказанием в виде штрафа в сумме 30000 рублей</w:t>
      </w:r>
      <w:r>
        <w:rPr>
          <w:rFonts w:ascii="Times New Roman" w:hAnsi="Times New Roman"/>
          <w:b w:val="0"/>
          <w:sz w:val="28"/>
        </w:rPr>
        <w:t>.</w:t>
      </w:r>
    </w:p>
    <w:sectPr>
      <w:headerReference r:id="rId1" w:type="default"/>
      <w:headerReference r:id="rId2" w:type="first"/>
      <w:footerReference r:id="rId3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58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3755"/>
    </w:tblGrid>
    <w:tr>
      <w:tc>
        <w:tcPr>
          <w:tcW w:type="dxa" w:w="3755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5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6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55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7000000"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8000000">
    <w:pPr>
      <w:pStyle w:val="Style_3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  <w:rPr>
        <w:rFonts w:ascii="Times New Roman" w:hAnsi="Times New Roman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6"/>
    <w:next w:val="Style_4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4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19" w:type="paragraph">
    <w:name w:val="toc 9"/>
    <w:next w:val="Style_4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Balloon Text"/>
    <w:basedOn w:val="Style_4"/>
    <w:link w:val="Style_20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0_ch" w:type="character">
    <w:name w:val="Balloon Text"/>
    <w:basedOn w:val="Style_4_ch"/>
    <w:link w:val="Style_20"/>
    <w:rPr>
      <w:rFonts w:ascii="Tahoma" w:hAnsi="Tahoma"/>
      <w:sz w:val="16"/>
    </w:rPr>
  </w:style>
  <w:style w:styleId="Style_21" w:type="paragraph">
    <w:name w:val="toc 8"/>
    <w:next w:val="Style_4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Сетка таблицы светлая2"/>
    <w:basedOn w:val="Style_27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styleId="Style_29" w:type="table">
    <w:name w:val="Сетка таблицы светлая1"/>
    <w:basedOn w:val="Style_27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2" w:type="table">
    <w:name w:val="Table Grid"/>
    <w:basedOn w:val="Style_2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2026-05-07T13:41:51Z</dcterms:created>
  <dcterms:modified xsi:type="dcterms:W3CDTF">2026-05-08T12:15:16Z</dcterms:modified>
</cp:coreProperties>
</file>